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B1F" w:rsidRPr="00A94B1F" w:rsidRDefault="00A94B1F" w:rsidP="00A94B1F">
      <w:pPr>
        <w:spacing w:before="100" w:beforeAutospacing="1" w:after="100" w:afterAutospacing="1" w:line="240" w:lineRule="auto"/>
        <w:jc w:val="center"/>
        <w:rPr>
          <w:rFonts w:ascii="Times New Roman" w:eastAsia="Times New Roman" w:hAnsi="Times New Roman" w:cs="Times New Roman"/>
          <w:b/>
          <w:bCs/>
          <w:sz w:val="40"/>
          <w:szCs w:val="40"/>
          <w:lang w:eastAsia="id-ID"/>
        </w:rPr>
      </w:pPr>
      <w:r w:rsidRPr="00A94B1F">
        <w:rPr>
          <w:rFonts w:ascii="Times New Roman" w:eastAsia="Times New Roman" w:hAnsi="Times New Roman" w:cs="Times New Roman"/>
          <w:b/>
          <w:bCs/>
          <w:sz w:val="40"/>
          <w:szCs w:val="40"/>
          <w:lang w:eastAsia="id-ID"/>
        </w:rPr>
        <w:t>PSAK 101 Revisi 2022</w:t>
      </w:r>
    </w:p>
    <w:p w:rsidR="00A94B1F" w:rsidRDefault="00A94B1F" w:rsidP="00A94B1F">
      <w:pPr>
        <w:spacing w:before="100" w:beforeAutospacing="1" w:after="100" w:afterAutospacing="1" w:line="240" w:lineRule="auto"/>
        <w:jc w:val="both"/>
        <w:rPr>
          <w:rFonts w:ascii="Times New Roman" w:eastAsia="Times New Roman" w:hAnsi="Times New Roman" w:cs="Times New Roman"/>
          <w:b/>
          <w:bCs/>
          <w:sz w:val="24"/>
          <w:szCs w:val="24"/>
          <w:lang w:eastAsia="id-ID"/>
        </w:rPr>
      </w:pPr>
    </w:p>
    <w:p w:rsidR="00A94B1F" w:rsidRPr="00A94B1F" w:rsidRDefault="00A94B1F" w:rsidP="00A94B1F">
      <w:pPr>
        <w:spacing w:before="100" w:beforeAutospacing="1" w:after="100" w:afterAutospacing="1" w:line="360" w:lineRule="auto"/>
        <w:ind w:firstLine="567"/>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Pada tanggal 31 Mei 2022, DSAS IAI mengesahkan revisi PSAK 101: Penyajian Laporan Keuangan Syariah dan PSAK 109: Akuntansi Zakat, Infak, dan Sedekah secara bersamaan. Revisi 2 PSAK ini merupakan respon atas perkembangan dinamika pengelolaan zakat di tanah air yang terus bergeliat. </w:t>
      </w:r>
    </w:p>
    <w:p w:rsidR="00A94B1F" w:rsidRPr="00A94B1F" w:rsidRDefault="00A94B1F" w:rsidP="00A94B1F">
      <w:pPr>
        <w:spacing w:before="100" w:beforeAutospacing="1" w:after="100" w:afterAutospacing="1" w:line="360" w:lineRule="auto"/>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 xml:space="preserve">Ini juga menjadi revisi perdana PSAK 109, sejak diterbitkan pertama kali pada 6 April 2010 atau 12 tahun silam. Sedangkan bagi PSAK 101 adalah revisi dan penyesuaian yang kesekian kalinya. Sosialisasi PSAK 101 &amp; 109 Revisi 2022 telah dilaksanakan oleh IAI pada Rabu, 5 Oktober 2022 </w:t>
      </w:r>
    </w:p>
    <w:p w:rsidR="00A94B1F" w:rsidRPr="00A94B1F" w:rsidRDefault="00A94B1F" w:rsidP="00A94B1F">
      <w:pPr>
        <w:pStyle w:val="ListParagraph"/>
        <w:numPr>
          <w:ilvl w:val="0"/>
          <w:numId w:val="3"/>
        </w:numPr>
        <w:spacing w:before="100" w:beforeAutospacing="1" w:after="100" w:afterAutospacing="1" w:line="360" w:lineRule="auto"/>
        <w:ind w:left="284"/>
        <w:jc w:val="both"/>
        <w:outlineLvl w:val="2"/>
        <w:rPr>
          <w:rFonts w:ascii="Times New Roman" w:eastAsia="Times New Roman" w:hAnsi="Times New Roman" w:cs="Times New Roman"/>
          <w:b/>
          <w:bCs/>
          <w:sz w:val="27"/>
          <w:szCs w:val="27"/>
          <w:lang w:eastAsia="id-ID"/>
        </w:rPr>
      </w:pPr>
      <w:r w:rsidRPr="00A94B1F">
        <w:rPr>
          <w:rFonts w:ascii="Times New Roman" w:eastAsia="Times New Roman" w:hAnsi="Times New Roman" w:cs="Times New Roman"/>
          <w:b/>
          <w:bCs/>
          <w:sz w:val="27"/>
          <w:szCs w:val="27"/>
          <w:lang w:eastAsia="id-ID"/>
        </w:rPr>
        <w:t>Riview PSAK 101 Revisi 2022</w:t>
      </w:r>
    </w:p>
    <w:p w:rsidR="00A94B1F" w:rsidRPr="00A94B1F" w:rsidRDefault="00A94B1F" w:rsidP="00A94B1F">
      <w:pPr>
        <w:spacing w:before="100" w:beforeAutospacing="1" w:after="100" w:afterAutospacing="1" w:line="360" w:lineRule="auto"/>
        <w:ind w:left="284" w:firstLine="436"/>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PSAK 101 merupakan PSAK Syariah yang paling sering dilakukan revisi dan penyesuaian karena terkait dengan PSAK lainnya. Ruang lingkup PSAK 101 mengatur penyusunan dan penyajian laporan keuangan entitas syariah, seperti bank syariah, asuransi syariah, entitas amil, dan entitas wakaf.  Revisi PSAK 101 tahun 2022 ini adalah penyesuaian atas penyajian la</w:t>
      </w:r>
      <w:r>
        <w:rPr>
          <w:rFonts w:ascii="Times New Roman" w:eastAsia="Times New Roman" w:hAnsi="Times New Roman" w:cs="Times New Roman"/>
          <w:sz w:val="24"/>
          <w:szCs w:val="24"/>
          <w:lang w:eastAsia="id-ID"/>
        </w:rPr>
        <w:t xml:space="preserve">poran keuangan untuk entitas AMIL </w:t>
      </w:r>
      <w:r w:rsidRPr="00A94B1F">
        <w:rPr>
          <w:rFonts w:ascii="Times New Roman" w:eastAsia="Times New Roman" w:hAnsi="Times New Roman" w:cs="Times New Roman"/>
          <w:sz w:val="24"/>
          <w:szCs w:val="24"/>
          <w:lang w:eastAsia="id-ID"/>
        </w:rPr>
        <w:t>Jadi pastikan ya rujukan penyusunan dan penyajian laporan keuangan entitas amil mengacu pada PSAK 101: Penyajian Laporan Keuangan Syariah, bukan ke PSAK 109: Akuntansi Zakat, Infak, dan Sedekah. </w:t>
      </w:r>
    </w:p>
    <w:p w:rsidR="00A94B1F" w:rsidRPr="00A94B1F" w:rsidRDefault="00A94B1F" w:rsidP="00A94B1F">
      <w:pPr>
        <w:spacing w:before="100" w:beforeAutospacing="1" w:after="100" w:afterAutospacing="1" w:line="360" w:lineRule="auto"/>
        <w:ind w:left="426"/>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Entitas amil yang dimaksud adalah lembaga pengelola zakat yang mencakup BAZNAS, LAZ dan UPZ, baik skala nasional, provinsi, dan kota/kabupaten. Setidaknya ada dua poin revisi PSAK 101 tahun 2022 yaitu berkaitan dengan komponen laporan keuangan entitas amil dan unsur laporan keuangan entitas amil.</w:t>
      </w:r>
    </w:p>
    <w:p w:rsidR="00A94B1F" w:rsidRPr="00A94B1F" w:rsidRDefault="00A94B1F" w:rsidP="00A94B1F">
      <w:pPr>
        <w:spacing w:before="100" w:beforeAutospacing="1" w:after="100" w:afterAutospacing="1" w:line="360" w:lineRule="auto"/>
        <w:ind w:left="284"/>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b/>
          <w:bCs/>
          <w:i/>
          <w:iCs/>
          <w:sz w:val="24"/>
          <w:szCs w:val="24"/>
          <w:lang w:eastAsia="id-ID"/>
        </w:rPr>
        <w:t>Pertama</w:t>
      </w:r>
      <w:r w:rsidRPr="00A94B1F">
        <w:rPr>
          <w:rFonts w:ascii="Times New Roman" w:eastAsia="Times New Roman" w:hAnsi="Times New Roman" w:cs="Times New Roman"/>
          <w:sz w:val="24"/>
          <w:szCs w:val="24"/>
          <w:lang w:eastAsia="id-ID"/>
        </w:rPr>
        <w:t xml:space="preserve">, </w:t>
      </w:r>
      <w:r w:rsidRPr="00A94B1F">
        <w:rPr>
          <w:rFonts w:ascii="Times New Roman" w:eastAsia="Times New Roman" w:hAnsi="Times New Roman" w:cs="Times New Roman"/>
          <w:b/>
          <w:bCs/>
          <w:sz w:val="24"/>
          <w:szCs w:val="24"/>
          <w:lang w:eastAsia="id-ID"/>
        </w:rPr>
        <w:t>Komponen Laporan Keuangan Entitas Amil</w:t>
      </w:r>
    </w:p>
    <w:p w:rsidR="00A94B1F" w:rsidRPr="00A94B1F" w:rsidRDefault="00A94B1F" w:rsidP="00A94B1F">
      <w:pPr>
        <w:spacing w:before="100" w:beforeAutospacing="1" w:after="100" w:afterAutospacing="1" w:line="360" w:lineRule="auto"/>
        <w:ind w:left="284"/>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Pada PSAK 101 versi sebelumnya, komponen laporan keuangan entitas amil terdiri dari 5 jenis, yaitu Laporan Posisi Keuangan, Laporan Perubahan Dana, Laporan Perubahan Aset Kelolaan, Laporan Arus Kas, dan Catatan atas Laporan Keuangan. </w:t>
      </w:r>
    </w:p>
    <w:p w:rsidR="00A94B1F" w:rsidRPr="00A94B1F" w:rsidRDefault="00A94B1F" w:rsidP="00A94B1F">
      <w:pPr>
        <w:spacing w:before="100" w:beforeAutospacing="1" w:after="100" w:afterAutospacing="1" w:line="360" w:lineRule="auto"/>
        <w:ind w:left="284"/>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lastRenderedPageBreak/>
        <w:t>Sedangkan dalam PSAK 101 revisi 2022 terdapat perubahan komponen laporan keuangan entitas amil, dimana Laporan Perubahan Aset Kelolaan ditiadakan dan istilah Laporan Perubahan Dana dirubah menjadi Laporan Aktivitas. Sehingga komponen laporan keuangan entitas amil menjadi empat jenis yaitu:</w:t>
      </w:r>
    </w:p>
    <w:p w:rsidR="00A94B1F" w:rsidRPr="00A94B1F" w:rsidRDefault="00A94B1F" w:rsidP="00A94B1F">
      <w:pPr>
        <w:numPr>
          <w:ilvl w:val="0"/>
          <w:numId w:val="1"/>
        </w:numPr>
        <w:spacing w:before="100" w:beforeAutospacing="1" w:after="100" w:afterAutospacing="1" w:line="360" w:lineRule="auto"/>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Laporan Posisi Keuangan</w:t>
      </w:r>
    </w:p>
    <w:p w:rsidR="00A94B1F" w:rsidRPr="00A94B1F" w:rsidRDefault="00A94B1F" w:rsidP="00A94B1F">
      <w:pPr>
        <w:numPr>
          <w:ilvl w:val="0"/>
          <w:numId w:val="1"/>
        </w:numPr>
        <w:spacing w:before="100" w:beforeAutospacing="1" w:after="100" w:afterAutospacing="1" w:line="360" w:lineRule="auto"/>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Laporan Aktivitas</w:t>
      </w:r>
    </w:p>
    <w:p w:rsidR="00A94B1F" w:rsidRPr="00A94B1F" w:rsidRDefault="00A94B1F" w:rsidP="00A94B1F">
      <w:pPr>
        <w:numPr>
          <w:ilvl w:val="0"/>
          <w:numId w:val="1"/>
        </w:numPr>
        <w:spacing w:before="100" w:beforeAutospacing="1" w:after="100" w:afterAutospacing="1" w:line="360" w:lineRule="auto"/>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Laporan Arus Kas</w:t>
      </w:r>
    </w:p>
    <w:p w:rsidR="00A94B1F" w:rsidRPr="00A94B1F" w:rsidRDefault="00A94B1F" w:rsidP="00A94B1F">
      <w:pPr>
        <w:numPr>
          <w:ilvl w:val="0"/>
          <w:numId w:val="1"/>
        </w:numPr>
        <w:spacing w:before="100" w:beforeAutospacing="1" w:after="100" w:afterAutospacing="1" w:line="360" w:lineRule="auto"/>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Catatan Atas Laporan Keuangan</w:t>
      </w:r>
    </w:p>
    <w:p w:rsidR="00A94B1F" w:rsidRDefault="00A94B1F" w:rsidP="00A94B1F">
      <w:pPr>
        <w:spacing w:after="0" w:line="360" w:lineRule="auto"/>
        <w:jc w:val="both"/>
        <w:rPr>
          <w:rFonts w:ascii="Times New Roman" w:eastAsia="Times New Roman" w:hAnsi="Times New Roman" w:cs="Times New Roman"/>
          <w:sz w:val="24"/>
          <w:szCs w:val="24"/>
          <w:lang w:eastAsia="id-ID"/>
        </w:rPr>
      </w:pPr>
    </w:p>
    <w:p w:rsidR="00A94B1F" w:rsidRDefault="00A94B1F" w:rsidP="00A94B1F">
      <w:pPr>
        <w:spacing w:after="0" w:line="360" w:lineRule="auto"/>
        <w:jc w:val="both"/>
        <w:rPr>
          <w:rFonts w:ascii="Times New Roman" w:eastAsia="Times New Roman" w:hAnsi="Times New Roman" w:cs="Times New Roman"/>
          <w:sz w:val="24"/>
          <w:szCs w:val="24"/>
          <w:lang w:eastAsia="id-ID"/>
        </w:rPr>
      </w:pPr>
    </w:p>
    <w:p w:rsidR="00A94B1F" w:rsidRPr="00A94B1F" w:rsidRDefault="00A94B1F" w:rsidP="00A94B1F">
      <w:pPr>
        <w:spacing w:after="0" w:line="360" w:lineRule="auto"/>
        <w:ind w:left="284"/>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Alasan perubahan komponen laporan keuangan entitas amil dari sebelumnya 5 jenis menjadi 4 jenis diantaranya adalah:</w:t>
      </w:r>
    </w:p>
    <w:p w:rsidR="00A94B1F" w:rsidRPr="00A94B1F" w:rsidRDefault="00A94B1F" w:rsidP="00A94B1F">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Perubahan acuan penyajian laporan keuangan entitas non-laba yang sebelumnya mengacu ke PSAK 45 kini telah berubah ke ISAK 35 dan entitas amil juga perlu penyesuaian dengan peraturan terkini terkait penyajian laporan keuangan entitas non-laba. Sehingga istilah Laporan Perubahan Dana disesuaikan menjadi Laporan Aktivitas agar sama dengan istilah yang digunakan pada enitas non-laba lainya.</w:t>
      </w:r>
    </w:p>
    <w:p w:rsidR="00A94B1F" w:rsidRPr="00A94B1F" w:rsidRDefault="00A94B1F" w:rsidP="00A94B1F">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Tidak semua entitas amil mengelola aset kelolaan, sehingga tidak perlu disajikan dalam laporan keuangan tersendiri, tapi cukup disajikan pada Catatan atas Laporan Keuangan.</w:t>
      </w:r>
    </w:p>
    <w:p w:rsidR="00A94B1F" w:rsidRPr="00A94B1F" w:rsidRDefault="00A94B1F" w:rsidP="00A94B1F">
      <w:pPr>
        <w:spacing w:after="0" w:line="360" w:lineRule="auto"/>
        <w:ind w:left="284"/>
        <w:rPr>
          <w:rFonts w:ascii="Times New Roman" w:eastAsia="Times New Roman" w:hAnsi="Times New Roman" w:cs="Times New Roman"/>
          <w:sz w:val="24"/>
          <w:szCs w:val="24"/>
          <w:lang w:eastAsia="id-ID"/>
        </w:rPr>
      </w:pPr>
      <w:r w:rsidRPr="00A94B1F">
        <w:rPr>
          <w:rFonts w:ascii="Times New Roman" w:eastAsia="Times New Roman" w:hAnsi="Times New Roman" w:cs="Times New Roman"/>
          <w:b/>
          <w:bCs/>
          <w:i/>
          <w:iCs/>
          <w:sz w:val="24"/>
          <w:szCs w:val="24"/>
          <w:lang w:eastAsia="id-ID"/>
        </w:rPr>
        <w:t>Kedua</w:t>
      </w:r>
      <w:r w:rsidRPr="00A94B1F">
        <w:rPr>
          <w:rFonts w:ascii="Times New Roman" w:eastAsia="Times New Roman" w:hAnsi="Times New Roman" w:cs="Times New Roman"/>
          <w:b/>
          <w:bCs/>
          <w:sz w:val="24"/>
          <w:szCs w:val="24"/>
          <w:lang w:eastAsia="id-ID"/>
        </w:rPr>
        <w:t>, Unsur Laporan Keuangan</w:t>
      </w:r>
    </w:p>
    <w:p w:rsidR="00A94B1F" w:rsidRPr="00A94B1F" w:rsidRDefault="00A94B1F" w:rsidP="00A94B1F">
      <w:pPr>
        <w:spacing w:after="0" w:line="360" w:lineRule="auto"/>
        <w:rPr>
          <w:rFonts w:ascii="Times New Roman" w:eastAsia="Times New Roman" w:hAnsi="Times New Roman" w:cs="Times New Roman"/>
          <w:sz w:val="24"/>
          <w:szCs w:val="24"/>
          <w:lang w:eastAsia="id-ID"/>
        </w:rPr>
      </w:pPr>
    </w:p>
    <w:p w:rsidR="00A94B1F" w:rsidRPr="00A94B1F" w:rsidRDefault="00A94B1F" w:rsidP="00A94B1F">
      <w:pPr>
        <w:spacing w:after="0" w:line="360" w:lineRule="auto"/>
        <w:ind w:left="284"/>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Tidak terdapat perubahan signifikan terkait unsur laporan keuangan entitas amil dari versei sebelumnya, yang berubah hanya istilah pada unsur Laporan Posisi Keuangan, dari sebelumnya terdiri dari Aset, Liabilitas, dan Saldo Dana menjadi Aset, Liabilitas, dan Aset Neto. Istilah Saldo Dana dirubah menjadi Aset Neto. </w:t>
      </w:r>
    </w:p>
    <w:p w:rsidR="00A94B1F" w:rsidRPr="00A94B1F" w:rsidRDefault="00A94B1F" w:rsidP="00A94B1F">
      <w:pPr>
        <w:spacing w:after="0" w:line="360" w:lineRule="auto"/>
        <w:jc w:val="both"/>
        <w:rPr>
          <w:rFonts w:ascii="Times New Roman" w:eastAsia="Times New Roman" w:hAnsi="Times New Roman" w:cs="Times New Roman"/>
          <w:sz w:val="24"/>
          <w:szCs w:val="24"/>
          <w:lang w:eastAsia="id-ID"/>
        </w:rPr>
      </w:pPr>
    </w:p>
    <w:p w:rsidR="00A94B1F" w:rsidRDefault="00A94B1F" w:rsidP="00A94B1F">
      <w:pPr>
        <w:spacing w:after="0" w:line="360" w:lineRule="auto"/>
        <w:ind w:left="284"/>
        <w:jc w:val="both"/>
        <w:rPr>
          <w:rFonts w:ascii="Times New Roman" w:eastAsia="Times New Roman" w:hAnsi="Times New Roman" w:cs="Times New Roman"/>
          <w:sz w:val="24"/>
          <w:szCs w:val="24"/>
          <w:lang w:eastAsia="id-ID"/>
        </w:rPr>
      </w:pPr>
      <w:r w:rsidRPr="00A94B1F">
        <w:rPr>
          <w:rFonts w:ascii="Times New Roman" w:eastAsia="Times New Roman" w:hAnsi="Times New Roman" w:cs="Times New Roman"/>
          <w:sz w:val="24"/>
          <w:szCs w:val="24"/>
          <w:lang w:eastAsia="id-ID"/>
        </w:rPr>
        <w:t>Perubahan Komponen Laporan Keuangan Entitas Amil yang diatur dalam PSAK 101 revisi 2022 berlaku efektif 1 Januari 2024, namun penerapan dini diperkenankan. Entitas Amil dapat mulai melakukan penyesuaian per 1 Januari 2023.</w:t>
      </w:r>
    </w:p>
    <w:p w:rsidR="00D04442" w:rsidRDefault="00D04442" w:rsidP="00A94B1F">
      <w:pPr>
        <w:spacing w:after="0" w:line="360" w:lineRule="auto"/>
        <w:ind w:left="284"/>
        <w:jc w:val="both"/>
        <w:rPr>
          <w:rFonts w:ascii="Times New Roman" w:eastAsia="Times New Roman" w:hAnsi="Times New Roman" w:cs="Times New Roman"/>
          <w:sz w:val="24"/>
          <w:szCs w:val="24"/>
          <w:lang w:eastAsia="id-ID"/>
        </w:rPr>
      </w:pPr>
    </w:p>
    <w:p w:rsidR="00D04442" w:rsidRDefault="00D04442" w:rsidP="00A94B1F">
      <w:pPr>
        <w:spacing w:after="0" w:line="360" w:lineRule="auto"/>
        <w:ind w:left="284"/>
        <w:jc w:val="both"/>
        <w:rPr>
          <w:rFonts w:ascii="Times New Roman" w:eastAsia="Times New Roman" w:hAnsi="Times New Roman" w:cs="Times New Roman"/>
          <w:sz w:val="24"/>
          <w:szCs w:val="24"/>
          <w:lang w:eastAsia="id-ID"/>
        </w:rPr>
      </w:pPr>
    </w:p>
    <w:p w:rsidR="007F05DF" w:rsidRPr="007F05DF" w:rsidRDefault="007F05DF" w:rsidP="007C628F">
      <w:pPr>
        <w:pStyle w:val="NormalWeb"/>
        <w:shd w:val="clear" w:color="auto" w:fill="FFFFFF"/>
        <w:spacing w:before="0" w:beforeAutospacing="0" w:line="360" w:lineRule="auto"/>
        <w:jc w:val="center"/>
        <w:rPr>
          <w:rFonts w:ascii="Arial" w:hAnsi="Arial" w:cs="Arial"/>
          <w:b/>
          <w:color w:val="212529"/>
          <w:sz w:val="32"/>
          <w:szCs w:val="32"/>
        </w:rPr>
      </w:pPr>
      <w:r w:rsidRPr="007F05DF">
        <w:rPr>
          <w:rFonts w:ascii="Arial" w:hAnsi="Arial" w:cs="Arial"/>
          <w:b/>
          <w:color w:val="212529"/>
          <w:sz w:val="32"/>
          <w:szCs w:val="32"/>
        </w:rPr>
        <w:lastRenderedPageBreak/>
        <w:t>PSAK 401 dan ISAK 403</w:t>
      </w:r>
    </w:p>
    <w:p w:rsidR="007F05DF" w:rsidRDefault="007F05DF" w:rsidP="007F05DF">
      <w:pPr>
        <w:rPr>
          <w:rFonts w:ascii="Arial" w:hAnsi="Arial" w:cs="Arial"/>
        </w:rPr>
      </w:pPr>
    </w:p>
    <w:p w:rsidR="007F05DF" w:rsidRDefault="007F05DF" w:rsidP="007F05DF">
      <w:pPr>
        <w:spacing w:line="360" w:lineRule="auto"/>
        <w:jc w:val="both"/>
        <w:rPr>
          <w:rFonts w:ascii="Arial" w:hAnsi="Arial" w:cs="Arial"/>
        </w:rPr>
      </w:pPr>
      <w:r>
        <w:rPr>
          <w:rFonts w:ascii="Arial" w:hAnsi="Arial" w:cs="Arial"/>
        </w:rPr>
        <w:t xml:space="preserve">PSAK 401 adalah standar akuntansi yang mengatur penyajian dan pengungkapan informasi dalam laporan keuangan untuk entitas syariah di Indonesia. Standar ini diterbitkan oleh </w:t>
      </w:r>
      <w:hyperlink r:id="rId5" w:tgtFrame="_blank" w:history="1">
        <w:r>
          <w:rPr>
            <w:rStyle w:val="Hyperlink"/>
            <w:rFonts w:ascii="Arial" w:hAnsi="Arial" w:cs="Arial"/>
          </w:rPr>
          <w:t>Ikatan Akuntan Indonesia (IAI)</w:t>
        </w:r>
      </w:hyperlink>
      <w:r>
        <w:rPr>
          <w:rFonts w:ascii="Arial" w:hAnsi="Arial" w:cs="Arial"/>
        </w:rPr>
        <w:t xml:space="preserve">. </w:t>
      </w:r>
    </w:p>
    <w:p w:rsidR="007F05DF" w:rsidRDefault="007F05DF" w:rsidP="007F05DF">
      <w:pPr>
        <w:spacing w:line="360" w:lineRule="auto"/>
        <w:jc w:val="both"/>
        <w:rPr>
          <w:rFonts w:ascii="Arial" w:hAnsi="Arial" w:cs="Arial"/>
          <w:b/>
          <w:bCs/>
          <w:sz w:val="30"/>
          <w:szCs w:val="30"/>
        </w:rPr>
      </w:pPr>
      <w:r>
        <w:rPr>
          <w:rFonts w:ascii="Arial" w:hAnsi="Arial" w:cs="Arial"/>
          <w:b/>
          <w:bCs/>
          <w:sz w:val="30"/>
          <w:szCs w:val="30"/>
        </w:rPr>
        <w:t>Ketentuan Utama &amp; Terkait PSAK 401 dan ISAK 403</w:t>
      </w:r>
    </w:p>
    <w:p w:rsidR="007F05DF" w:rsidRDefault="007F05DF" w:rsidP="007F05DF">
      <w:pPr>
        <w:numPr>
          <w:ilvl w:val="0"/>
          <w:numId w:val="4"/>
        </w:numPr>
        <w:spacing w:after="0" w:line="360" w:lineRule="auto"/>
        <w:ind w:left="0"/>
        <w:jc w:val="both"/>
        <w:rPr>
          <w:rFonts w:ascii="Arial" w:hAnsi="Arial" w:cs="Arial"/>
          <w:sz w:val="24"/>
          <w:szCs w:val="24"/>
        </w:rPr>
      </w:pPr>
      <w:r>
        <w:rPr>
          <w:rStyle w:val="Strong"/>
          <w:rFonts w:ascii="Arial" w:hAnsi="Arial" w:cs="Arial"/>
        </w:rPr>
        <w:t>Ketentuan Utama PSAK 401:</w:t>
      </w:r>
      <w:r>
        <w:rPr>
          <w:rStyle w:val="inqyif"/>
          <w:rFonts w:ascii="Arial" w:hAnsi="Arial" w:cs="Arial"/>
        </w:rPr>
        <w:t xml:space="preserve"> Mengatur klasifikasi laba rugi ke dalam kategori operasi, investasi, pendanaan, zakat, pajak, dan operasi dihentikan, serta penyajian subtotal terkait. Standar ini juga mewajibkan pengungkapan ukuran kinerja manajemen dan peningkatan komparabilitas laporan.</w:t>
      </w:r>
      <w:r>
        <w:rPr>
          <w:rFonts w:ascii="Arial" w:hAnsi="Arial" w:cs="Arial"/>
        </w:rPr>
        <w:t xml:space="preserve"> </w:t>
      </w:r>
    </w:p>
    <w:p w:rsidR="007F05DF" w:rsidRDefault="007F05DF" w:rsidP="007F05DF">
      <w:pPr>
        <w:numPr>
          <w:ilvl w:val="0"/>
          <w:numId w:val="4"/>
        </w:numPr>
        <w:spacing w:after="0" w:line="360" w:lineRule="auto"/>
        <w:ind w:left="0"/>
        <w:jc w:val="both"/>
        <w:rPr>
          <w:rFonts w:ascii="Arial" w:hAnsi="Arial" w:cs="Arial"/>
        </w:rPr>
      </w:pPr>
      <w:r>
        <w:rPr>
          <w:rStyle w:val="Strong"/>
          <w:rFonts w:ascii="Arial" w:hAnsi="Arial" w:cs="Arial"/>
        </w:rPr>
        <w:t>ISAK 403:</w:t>
      </w:r>
      <w:r>
        <w:rPr>
          <w:rStyle w:val="inqyif"/>
          <w:rFonts w:ascii="Arial" w:hAnsi="Arial" w:cs="Arial"/>
        </w:rPr>
        <w:t xml:space="preserve"> Mengatur komponen laporan keuangan bagi entitas syariah yang menerapkan SAK EP dan SAK EMKM, termasuk kewajiban menyajikan laporan perubahan dana sosial.</w:t>
      </w:r>
      <w:r>
        <w:rPr>
          <w:rFonts w:ascii="Arial" w:hAnsi="Arial" w:cs="Arial"/>
        </w:rPr>
        <w:t xml:space="preserve"> </w:t>
      </w:r>
    </w:p>
    <w:p w:rsidR="007F05DF" w:rsidRDefault="007F05DF" w:rsidP="007F05DF">
      <w:pPr>
        <w:numPr>
          <w:ilvl w:val="0"/>
          <w:numId w:val="4"/>
        </w:numPr>
        <w:spacing w:after="0" w:line="360" w:lineRule="auto"/>
        <w:ind w:left="0"/>
        <w:jc w:val="both"/>
        <w:rPr>
          <w:rFonts w:ascii="Arial" w:hAnsi="Arial" w:cs="Arial"/>
        </w:rPr>
      </w:pPr>
      <w:r>
        <w:rPr>
          <w:rStyle w:val="Strong"/>
          <w:rFonts w:ascii="Arial" w:hAnsi="Arial" w:cs="Arial"/>
        </w:rPr>
        <w:t>Masa Berlaku:</w:t>
      </w:r>
      <w:r>
        <w:rPr>
          <w:rStyle w:val="inqyif"/>
          <w:rFonts w:ascii="Arial" w:hAnsi="Arial" w:cs="Arial"/>
        </w:rPr>
        <w:t xml:space="preserve"> Berlaku efektif untuk periode tahun buku yang dimulai pada atau setelah </w:t>
      </w:r>
      <w:r>
        <w:rPr>
          <w:rStyle w:val="Strong"/>
          <w:rFonts w:ascii="Arial" w:hAnsi="Arial" w:cs="Arial"/>
        </w:rPr>
        <w:t>1 Januari 2027</w:t>
      </w:r>
      <w:r>
        <w:rPr>
          <w:rStyle w:val="inqyif"/>
          <w:rFonts w:ascii="Arial" w:hAnsi="Arial" w:cs="Arial"/>
        </w:rPr>
        <w:t>.</w:t>
      </w:r>
    </w:p>
    <w:p w:rsidR="007F05DF" w:rsidRDefault="007F05DF" w:rsidP="007C628F">
      <w:pPr>
        <w:pStyle w:val="NormalWeb"/>
        <w:shd w:val="clear" w:color="auto" w:fill="FFFFFF"/>
        <w:spacing w:before="0" w:beforeAutospacing="0" w:line="360" w:lineRule="auto"/>
        <w:jc w:val="center"/>
        <w:rPr>
          <w:rFonts w:ascii="Arial" w:hAnsi="Arial" w:cs="Arial"/>
          <w:color w:val="212529"/>
          <w:sz w:val="32"/>
          <w:szCs w:val="32"/>
        </w:rPr>
      </w:pPr>
    </w:p>
    <w:p w:rsidR="007C628F" w:rsidRPr="007C628F" w:rsidRDefault="007C628F" w:rsidP="007C628F">
      <w:pPr>
        <w:pStyle w:val="NormalWeb"/>
        <w:shd w:val="clear" w:color="auto" w:fill="FFFFFF"/>
        <w:spacing w:before="0" w:beforeAutospacing="0" w:line="360" w:lineRule="auto"/>
        <w:jc w:val="center"/>
        <w:rPr>
          <w:rFonts w:ascii="Arial" w:hAnsi="Arial" w:cs="Arial"/>
          <w:color w:val="212529"/>
          <w:sz w:val="32"/>
          <w:szCs w:val="32"/>
        </w:rPr>
      </w:pPr>
      <w:r w:rsidRPr="007C628F">
        <w:rPr>
          <w:rFonts w:ascii="Arial" w:hAnsi="Arial" w:cs="Arial"/>
          <w:color w:val="212529"/>
          <w:sz w:val="32"/>
          <w:szCs w:val="32"/>
        </w:rPr>
        <w:t>PENGESAHAN psak M401 DAN ISAK 403</w:t>
      </w:r>
    </w:p>
    <w:p w:rsidR="00D04442" w:rsidRPr="007F05DF" w:rsidRDefault="00D04442" w:rsidP="00D04442">
      <w:pPr>
        <w:pStyle w:val="NormalWeb"/>
        <w:shd w:val="clear" w:color="auto" w:fill="FFFFFF"/>
        <w:spacing w:before="0" w:beforeAutospacing="0" w:line="360" w:lineRule="auto"/>
        <w:jc w:val="both"/>
        <w:rPr>
          <w:rFonts w:ascii="Arial" w:hAnsi="Arial" w:cs="Arial"/>
          <w:color w:val="212529"/>
        </w:rPr>
      </w:pPr>
      <w:r w:rsidRPr="007F05DF">
        <w:rPr>
          <w:rFonts w:ascii="Arial" w:hAnsi="Arial" w:cs="Arial"/>
          <w:color w:val="212529"/>
        </w:rPr>
        <w:t>Pada 21 Oktober 2025 DSAS IAI telah mengesahkan PSAK 401 tentang Penyajian dan Pengungkapan dalam Laporan Keuangan Syariah dan ISAK 403 tentang Komponen Laporan Keuangan Entitas Syariah Yang Menerapkan SAK Indonesia Untuk Entitas Privat dan SAK Indonesia Untuk Entitas Mikro, Kecil, dan Menengah. PSAK 401 mengatur penyajian dan pengungkapan informasi dalam laporan keuangan bertujuan umum (</w:t>
      </w:r>
      <w:r w:rsidRPr="007F05DF">
        <w:rPr>
          <w:rFonts w:ascii="Arial" w:hAnsi="Arial" w:cs="Arial"/>
          <w:i/>
          <w:iCs/>
          <w:color w:val="212529"/>
        </w:rPr>
        <w:t>general purpose financial statements</w:t>
      </w:r>
      <w:r w:rsidRPr="007F05DF">
        <w:rPr>
          <w:rFonts w:ascii="Arial" w:hAnsi="Arial" w:cs="Arial"/>
          <w:color w:val="212529"/>
        </w:rPr>
        <w:t>) untuk entitas syariah. Sedangkan ISAK 403 mengatur komponen laporan keuangan untuk entitas syariah yang menerapkan SAK EP dan SAK EMKM.</w:t>
      </w:r>
    </w:p>
    <w:p w:rsidR="00D04442" w:rsidRPr="007F05DF" w:rsidRDefault="00D04442" w:rsidP="00D04442">
      <w:pPr>
        <w:pStyle w:val="NormalWeb"/>
        <w:shd w:val="clear" w:color="auto" w:fill="FFFFFF"/>
        <w:spacing w:before="0" w:beforeAutospacing="0" w:line="360" w:lineRule="auto"/>
        <w:jc w:val="both"/>
        <w:rPr>
          <w:rFonts w:ascii="Arial" w:hAnsi="Arial" w:cs="Arial"/>
          <w:color w:val="212529"/>
        </w:rPr>
      </w:pPr>
      <w:r w:rsidRPr="007F05DF">
        <w:rPr>
          <w:rFonts w:ascii="Arial" w:hAnsi="Arial" w:cs="Arial"/>
          <w:color w:val="212529"/>
        </w:rPr>
        <w:t xml:space="preserve">Terdapat perubahan besar pada laporan penghasilan komprehensif dan catatan atas laporan keuangan. Dalam bagian laba rugi, PSAK 401 mensyaratkan pengklasifikasian penghasilan dan beban ke dalam kategori operasi, investasi, pendanaan, zakat perusahaan, pajak penghasilan, dan operasi yang dihentikan. PSAK 401 juga mensyaratkan penyajian subtotal laba rugi operasi, laba rugi sebelum pendanaan, zakat perusahaan, dan pajak penghasilan, serta laba rugi. Perubahan ini </w:t>
      </w:r>
      <w:r w:rsidRPr="007F05DF">
        <w:rPr>
          <w:rFonts w:ascii="Arial" w:hAnsi="Arial" w:cs="Arial"/>
          <w:color w:val="212529"/>
        </w:rPr>
        <w:lastRenderedPageBreak/>
        <w:t xml:space="preserve">mengakibatkan struktur laporan penghasilan komprehensif yang lebih konsisten dan </w:t>
      </w:r>
      <w:bookmarkStart w:id="0" w:name="_GoBack"/>
      <w:bookmarkEnd w:id="0"/>
      <w:r w:rsidRPr="007F05DF">
        <w:rPr>
          <w:rFonts w:ascii="Arial" w:hAnsi="Arial" w:cs="Arial"/>
          <w:color w:val="212529"/>
        </w:rPr>
        <w:t>meningkatkan komparabilitas antarentitas. Selain itu, PSAK 401 juga mensyaratkan pengungkapan ukuran kinerja tetapan manajemen (</w:t>
      </w:r>
      <w:r w:rsidRPr="007F05DF">
        <w:rPr>
          <w:rFonts w:ascii="Arial" w:hAnsi="Arial" w:cs="Arial"/>
          <w:i/>
          <w:iCs/>
          <w:color w:val="212529"/>
        </w:rPr>
        <w:t>management-defined performance measures</w:t>
      </w:r>
      <w:r w:rsidRPr="007F05DF">
        <w:rPr>
          <w:rFonts w:ascii="Arial" w:hAnsi="Arial" w:cs="Arial"/>
          <w:color w:val="212529"/>
        </w:rPr>
        <w:t>) dengan tujuan mengomunikasikan pandangan manajemen atas aspek kinerja keuangan secara keseluruhan.</w:t>
      </w:r>
    </w:p>
    <w:p w:rsidR="00D04442" w:rsidRPr="007F05DF" w:rsidRDefault="00D04442" w:rsidP="00D04442">
      <w:pPr>
        <w:pStyle w:val="NormalWeb"/>
        <w:shd w:val="clear" w:color="auto" w:fill="FFFFFF"/>
        <w:spacing w:before="0" w:beforeAutospacing="0" w:line="360" w:lineRule="auto"/>
        <w:jc w:val="both"/>
        <w:rPr>
          <w:rFonts w:ascii="Arial" w:hAnsi="Arial" w:cs="Arial"/>
          <w:color w:val="212529"/>
        </w:rPr>
      </w:pPr>
      <w:r w:rsidRPr="007F05DF">
        <w:rPr>
          <w:rFonts w:ascii="Arial" w:hAnsi="Arial" w:cs="Arial"/>
          <w:color w:val="212529"/>
        </w:rPr>
        <w:t>Dalam ISAK 403, entitas syariah yang menerapkan SAK EP atau SAK EMKM disyaratkan untuk untuk menyajikan laporan perubahan dana sosial sebagai bagian dari komponen laporan keuangan lengkapnya. Penyajian laporan perubahan dana sosial tersebut disusun sesuai dengan pengaturan di PSAK 401.</w:t>
      </w:r>
    </w:p>
    <w:p w:rsidR="00D04442" w:rsidRPr="007F05DF" w:rsidRDefault="00D04442" w:rsidP="00D04442">
      <w:pPr>
        <w:pStyle w:val="NormalWeb"/>
        <w:shd w:val="clear" w:color="auto" w:fill="FFFFFF"/>
        <w:spacing w:before="0" w:beforeAutospacing="0" w:line="360" w:lineRule="auto"/>
        <w:jc w:val="both"/>
        <w:rPr>
          <w:rFonts w:ascii="Arial" w:hAnsi="Arial" w:cs="Arial"/>
          <w:color w:val="212529"/>
        </w:rPr>
      </w:pPr>
      <w:r w:rsidRPr="007F05DF">
        <w:rPr>
          <w:rFonts w:ascii="Arial" w:hAnsi="Arial" w:cs="Arial"/>
          <w:color w:val="212529"/>
        </w:rPr>
        <w:t>PSAK 401 dan ISAK 403 berlaku efektif untuk periode tahun buku yang dimulai atau setelah 1 Januari 2027.</w:t>
      </w:r>
    </w:p>
    <w:p w:rsidR="00D04442" w:rsidRPr="007F05DF" w:rsidRDefault="00D04442" w:rsidP="00A94B1F">
      <w:pPr>
        <w:spacing w:after="0" w:line="360" w:lineRule="auto"/>
        <w:ind w:left="284"/>
        <w:jc w:val="both"/>
        <w:rPr>
          <w:rFonts w:ascii="Times New Roman" w:eastAsia="Times New Roman" w:hAnsi="Times New Roman" w:cs="Times New Roman"/>
          <w:sz w:val="24"/>
          <w:szCs w:val="24"/>
          <w:lang w:eastAsia="id-ID"/>
        </w:rPr>
      </w:pPr>
    </w:p>
    <w:p w:rsidR="003A5409" w:rsidRDefault="003A5409" w:rsidP="00A94B1F">
      <w:pPr>
        <w:spacing w:line="360" w:lineRule="auto"/>
      </w:pPr>
    </w:p>
    <w:sectPr w:rsidR="003A54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F0C16"/>
    <w:multiLevelType w:val="multilevel"/>
    <w:tmpl w:val="C4F0B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E858AE"/>
    <w:multiLevelType w:val="multilevel"/>
    <w:tmpl w:val="8938A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B9446C"/>
    <w:multiLevelType w:val="multilevel"/>
    <w:tmpl w:val="4F946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862370"/>
    <w:multiLevelType w:val="hybridMultilevel"/>
    <w:tmpl w:val="B43871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64BF2CEA"/>
    <w:multiLevelType w:val="multilevel"/>
    <w:tmpl w:val="82D0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B1F"/>
    <w:rsid w:val="003A5409"/>
    <w:rsid w:val="007C628F"/>
    <w:rsid w:val="007F05DF"/>
    <w:rsid w:val="00A94B1F"/>
    <w:rsid w:val="00D0444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9A94E-6F0E-436C-BA17-1AD1483E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94B1F"/>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94B1F"/>
    <w:rPr>
      <w:rFonts w:ascii="Times New Roman" w:eastAsia="Times New Roman" w:hAnsi="Times New Roman" w:cs="Times New Roman"/>
      <w:b/>
      <w:bCs/>
      <w:sz w:val="27"/>
      <w:szCs w:val="27"/>
      <w:lang w:eastAsia="id-ID"/>
    </w:rPr>
  </w:style>
  <w:style w:type="character" w:styleId="Hyperlink">
    <w:name w:val="Hyperlink"/>
    <w:basedOn w:val="DefaultParagraphFont"/>
    <w:uiPriority w:val="99"/>
    <w:semiHidden/>
    <w:unhideWhenUsed/>
    <w:rsid w:val="00A94B1F"/>
    <w:rPr>
      <w:color w:val="0000FF"/>
      <w:u w:val="single"/>
    </w:rPr>
  </w:style>
  <w:style w:type="paragraph" w:styleId="NormalWeb">
    <w:name w:val="Normal (Web)"/>
    <w:basedOn w:val="Normal"/>
    <w:uiPriority w:val="99"/>
    <w:semiHidden/>
    <w:unhideWhenUsed/>
    <w:rsid w:val="00A94B1F"/>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ListParagraph">
    <w:name w:val="List Paragraph"/>
    <w:basedOn w:val="Normal"/>
    <w:uiPriority w:val="34"/>
    <w:qFormat/>
    <w:rsid w:val="00A94B1F"/>
    <w:pPr>
      <w:ind w:left="720"/>
      <w:contextualSpacing/>
    </w:pPr>
  </w:style>
  <w:style w:type="character" w:customStyle="1" w:styleId="inqyif">
    <w:name w:val="inqyif"/>
    <w:basedOn w:val="DefaultParagraphFont"/>
    <w:rsid w:val="007F05DF"/>
  </w:style>
  <w:style w:type="character" w:styleId="Strong">
    <w:name w:val="Strong"/>
    <w:basedOn w:val="DefaultParagraphFont"/>
    <w:uiPriority w:val="22"/>
    <w:qFormat/>
    <w:rsid w:val="007F05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810055">
      <w:bodyDiv w:val="1"/>
      <w:marLeft w:val="0"/>
      <w:marRight w:val="0"/>
      <w:marTop w:val="0"/>
      <w:marBottom w:val="0"/>
      <w:divBdr>
        <w:top w:val="none" w:sz="0" w:space="0" w:color="auto"/>
        <w:left w:val="none" w:sz="0" w:space="0" w:color="auto"/>
        <w:bottom w:val="none" w:sz="0" w:space="0" w:color="auto"/>
        <w:right w:val="none" w:sz="0" w:space="0" w:color="auto"/>
      </w:divBdr>
      <w:divsChild>
        <w:div w:id="1737970415">
          <w:marLeft w:val="0"/>
          <w:marRight w:val="0"/>
          <w:marTop w:val="0"/>
          <w:marBottom w:val="0"/>
          <w:divBdr>
            <w:top w:val="none" w:sz="0" w:space="0" w:color="auto"/>
            <w:left w:val="none" w:sz="0" w:space="0" w:color="auto"/>
            <w:bottom w:val="none" w:sz="0" w:space="0" w:color="auto"/>
            <w:right w:val="none" w:sz="0" w:space="0" w:color="auto"/>
          </w:divBdr>
          <w:divsChild>
            <w:div w:id="1930775033">
              <w:marLeft w:val="0"/>
              <w:marRight w:val="0"/>
              <w:marTop w:val="0"/>
              <w:marBottom w:val="0"/>
              <w:divBdr>
                <w:top w:val="none" w:sz="0" w:space="0" w:color="auto"/>
                <w:left w:val="none" w:sz="0" w:space="0" w:color="auto"/>
                <w:bottom w:val="none" w:sz="0" w:space="0" w:color="auto"/>
                <w:right w:val="none" w:sz="0" w:space="0" w:color="auto"/>
              </w:divBdr>
            </w:div>
          </w:divsChild>
        </w:div>
        <w:div w:id="1276671962">
          <w:marLeft w:val="0"/>
          <w:marRight w:val="0"/>
          <w:marTop w:val="0"/>
          <w:marBottom w:val="0"/>
          <w:divBdr>
            <w:top w:val="none" w:sz="0" w:space="0" w:color="auto"/>
            <w:left w:val="none" w:sz="0" w:space="0" w:color="auto"/>
            <w:bottom w:val="none" w:sz="0" w:space="0" w:color="auto"/>
            <w:right w:val="none" w:sz="0" w:space="0" w:color="auto"/>
          </w:divBdr>
        </w:div>
      </w:divsChild>
    </w:div>
    <w:div w:id="1026370969">
      <w:bodyDiv w:val="1"/>
      <w:marLeft w:val="0"/>
      <w:marRight w:val="0"/>
      <w:marTop w:val="0"/>
      <w:marBottom w:val="0"/>
      <w:divBdr>
        <w:top w:val="none" w:sz="0" w:space="0" w:color="auto"/>
        <w:left w:val="none" w:sz="0" w:space="0" w:color="auto"/>
        <w:bottom w:val="none" w:sz="0" w:space="0" w:color="auto"/>
        <w:right w:val="none" w:sz="0" w:space="0" w:color="auto"/>
      </w:divBdr>
      <w:divsChild>
        <w:div w:id="1898589263">
          <w:marLeft w:val="0"/>
          <w:marRight w:val="0"/>
          <w:marTop w:val="0"/>
          <w:marBottom w:val="0"/>
          <w:divBdr>
            <w:top w:val="none" w:sz="0" w:space="0" w:color="auto"/>
            <w:left w:val="none" w:sz="0" w:space="0" w:color="auto"/>
            <w:bottom w:val="none" w:sz="0" w:space="0" w:color="auto"/>
            <w:right w:val="none" w:sz="0" w:space="0" w:color="auto"/>
          </w:divBdr>
          <w:divsChild>
            <w:div w:id="642346818">
              <w:marLeft w:val="0"/>
              <w:marRight w:val="0"/>
              <w:marTop w:val="0"/>
              <w:marBottom w:val="0"/>
              <w:divBdr>
                <w:top w:val="none" w:sz="0" w:space="0" w:color="auto"/>
                <w:left w:val="none" w:sz="0" w:space="0" w:color="auto"/>
                <w:bottom w:val="none" w:sz="0" w:space="0" w:color="auto"/>
                <w:right w:val="none" w:sz="0" w:space="0" w:color="auto"/>
              </w:divBdr>
              <w:divsChild>
                <w:div w:id="6374637">
                  <w:marLeft w:val="0"/>
                  <w:marRight w:val="0"/>
                  <w:marTop w:val="0"/>
                  <w:marBottom w:val="240"/>
                  <w:divBdr>
                    <w:top w:val="none" w:sz="0" w:space="0" w:color="auto"/>
                    <w:left w:val="none" w:sz="0" w:space="0" w:color="auto"/>
                    <w:bottom w:val="none" w:sz="0" w:space="0" w:color="auto"/>
                    <w:right w:val="none" w:sz="0" w:space="0" w:color="auto"/>
                  </w:divBdr>
                </w:div>
                <w:div w:id="1247767571">
                  <w:marLeft w:val="0"/>
                  <w:marRight w:val="0"/>
                  <w:marTop w:val="360"/>
                  <w:marBottom w:val="180"/>
                  <w:divBdr>
                    <w:top w:val="none" w:sz="0" w:space="0" w:color="auto"/>
                    <w:left w:val="none" w:sz="0" w:space="0" w:color="auto"/>
                    <w:bottom w:val="none" w:sz="0" w:space="0" w:color="auto"/>
                    <w:right w:val="none" w:sz="0" w:space="0" w:color="auto"/>
                  </w:divBdr>
                </w:div>
                <w:div w:id="884633873">
                  <w:marLeft w:val="0"/>
                  <w:marRight w:val="0"/>
                  <w:marTop w:val="0"/>
                  <w:marBottom w:val="0"/>
                  <w:divBdr>
                    <w:top w:val="none" w:sz="0" w:space="0" w:color="auto"/>
                    <w:left w:val="none" w:sz="0" w:space="0" w:color="auto"/>
                    <w:bottom w:val="none" w:sz="0" w:space="0" w:color="auto"/>
                    <w:right w:val="none" w:sz="0" w:space="0" w:color="auto"/>
                  </w:divBdr>
                </w:div>
                <w:div w:id="1157957377">
                  <w:marLeft w:val="0"/>
                  <w:marRight w:val="0"/>
                  <w:marTop w:val="0"/>
                  <w:marBottom w:val="0"/>
                  <w:divBdr>
                    <w:top w:val="none" w:sz="0" w:space="0" w:color="auto"/>
                    <w:left w:val="none" w:sz="0" w:space="0" w:color="auto"/>
                    <w:bottom w:val="none" w:sz="0" w:space="0" w:color="auto"/>
                    <w:right w:val="none" w:sz="0" w:space="0" w:color="auto"/>
                  </w:divBdr>
                </w:div>
                <w:div w:id="125863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6717">
          <w:marLeft w:val="0"/>
          <w:marRight w:val="0"/>
          <w:marTop w:val="0"/>
          <w:marBottom w:val="0"/>
          <w:divBdr>
            <w:top w:val="none" w:sz="0" w:space="0" w:color="auto"/>
            <w:left w:val="none" w:sz="0" w:space="0" w:color="auto"/>
            <w:bottom w:val="none" w:sz="0" w:space="0" w:color="auto"/>
            <w:right w:val="none" w:sz="0" w:space="0" w:color="auto"/>
          </w:divBdr>
          <w:divsChild>
            <w:div w:id="844831719">
              <w:marLeft w:val="0"/>
              <w:marRight w:val="0"/>
              <w:marTop w:val="0"/>
              <w:marBottom w:val="0"/>
              <w:divBdr>
                <w:top w:val="none" w:sz="0" w:space="0" w:color="auto"/>
                <w:left w:val="none" w:sz="0" w:space="0" w:color="auto"/>
                <w:bottom w:val="none" w:sz="0" w:space="0" w:color="auto"/>
                <w:right w:val="none" w:sz="0" w:space="0" w:color="auto"/>
              </w:divBdr>
              <w:divsChild>
                <w:div w:id="150485040">
                  <w:marLeft w:val="0"/>
                  <w:marRight w:val="0"/>
                  <w:marTop w:val="0"/>
                  <w:marBottom w:val="0"/>
                  <w:divBdr>
                    <w:top w:val="none" w:sz="0" w:space="0" w:color="auto"/>
                    <w:left w:val="none" w:sz="0" w:space="0" w:color="auto"/>
                    <w:bottom w:val="none" w:sz="0" w:space="0" w:color="auto"/>
                    <w:right w:val="none" w:sz="0" w:space="0" w:color="auto"/>
                  </w:divBdr>
                  <w:divsChild>
                    <w:div w:id="1649629821">
                      <w:marLeft w:val="0"/>
                      <w:marRight w:val="0"/>
                      <w:marTop w:val="0"/>
                      <w:marBottom w:val="0"/>
                      <w:divBdr>
                        <w:top w:val="none" w:sz="0" w:space="0" w:color="auto"/>
                        <w:left w:val="none" w:sz="0" w:space="0" w:color="auto"/>
                        <w:bottom w:val="single" w:sz="6" w:space="0" w:color="D2D2D2"/>
                        <w:right w:val="none" w:sz="0" w:space="0" w:color="auto"/>
                      </w:divBdr>
                    </w:div>
                  </w:divsChild>
                </w:div>
              </w:divsChild>
            </w:div>
          </w:divsChild>
        </w:div>
      </w:divsChild>
    </w:div>
    <w:div w:id="159219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eb.iaiglobal.or.id/Berita-IAI/detail/pengesahan_psak_401_dan_isak_40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2026-10-05T23:17:00Z</dcterms:created>
  <dcterms:modified xsi:type="dcterms:W3CDTF">2026-10-05T23:17:00Z</dcterms:modified>
</cp:coreProperties>
</file>